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b/>
          <w:bCs/>
          <w:lang w:val="en-US"/>
        </w:rPr>
      </w:pPr>
      <w:r>
        <w:rPr>
          <w:rFonts w:hint="default"/>
          <w:b/>
          <w:bCs/>
          <w:lang w:val="en-US"/>
        </w:rPr>
        <w:t>GENDER SENSETIZATION PLAN</w:t>
      </w:r>
    </w:p>
    <w:p>
      <w:pPr>
        <w:spacing w:after="0" w:line="360" w:lineRule="auto"/>
        <w:jc w:val="both"/>
      </w:pPr>
      <w:r>
        <w:t>7.1.1.1 Yeshwant college aims to secure gender equity to its fullest. It takes and give every opportunity to its staff for their empowerment. Where all employees are valued and included, resulting in more engaged, motivated productive work force.</w:t>
      </w:r>
    </w:p>
    <w:p>
      <w:pPr>
        <w:spacing w:after="0" w:line="360" w:lineRule="auto"/>
        <w:jc w:val="both"/>
      </w:pPr>
    </w:p>
    <w:p>
      <w:pPr>
        <w:spacing w:after="0" w:line="360" w:lineRule="auto"/>
        <w:jc w:val="both"/>
        <w:rPr>
          <w:b/>
          <w:bCs/>
        </w:rPr>
      </w:pPr>
      <w:r>
        <w:rPr>
          <w:b/>
          <w:bCs/>
        </w:rPr>
        <w:t xml:space="preserve">7.1.1.2 Exploring institutional data : </w:t>
      </w:r>
    </w:p>
    <w:p>
      <w:pPr>
        <w:spacing w:after="0" w:line="360" w:lineRule="auto"/>
        <w:jc w:val="both"/>
      </w:pPr>
      <w:r>
        <w:t>In the year 20-21, female students are lead always by 53 % &amp; the total student strength.</w:t>
      </w:r>
    </w:p>
    <w:p>
      <w:pPr>
        <w:spacing w:after="0" w:line="360" w:lineRule="auto"/>
        <w:jc w:val="both"/>
      </w:pPr>
    </w:p>
    <w:p>
      <w:pPr>
        <w:spacing w:after="0" w:line="360" w:lineRule="auto"/>
        <w:jc w:val="both"/>
        <w:rPr>
          <w:b/>
          <w:bCs/>
        </w:rPr>
      </w:pPr>
      <w:r>
        <w:rPr>
          <w:b/>
          <w:bCs/>
        </w:rPr>
        <w:t>7.1.1.3 Analysis present scenario :</w:t>
      </w:r>
    </w:p>
    <w:p>
      <w:pPr>
        <w:spacing w:after="0" w:line="360" w:lineRule="auto"/>
        <w:jc w:val="both"/>
      </w:pPr>
      <w:r>
        <w:t xml:space="preserve">          </w:t>
      </w:r>
    </w:p>
    <w:tbl>
      <w:tblPr>
        <w:tblStyle w:val="4"/>
        <w:tblW w:w="0" w:type="auto"/>
        <w:tblInd w:w="3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0"/>
        <w:gridCol w:w="1170"/>
        <w:gridCol w:w="3445"/>
        <w:gridCol w:w="3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tcBorders>
              <w:bottom w:val="single" w:color="auto" w:sz="4" w:space="0"/>
              <w:right w:val="single" w:color="auto" w:sz="4" w:space="0"/>
            </w:tcBorders>
          </w:tcPr>
          <w:p>
            <w:pPr>
              <w:spacing w:after="0" w:line="360" w:lineRule="auto"/>
              <w:jc w:val="both"/>
            </w:pPr>
            <w:r>
              <w:t xml:space="preserve"> Sr. No.</w:t>
            </w:r>
          </w:p>
        </w:tc>
        <w:tc>
          <w:tcPr>
            <w:tcW w:w="1170" w:type="dxa"/>
            <w:tcBorders>
              <w:left w:val="single" w:color="auto" w:sz="4" w:space="0"/>
            </w:tcBorders>
          </w:tcPr>
          <w:p>
            <w:pPr>
              <w:spacing w:after="0" w:line="360" w:lineRule="auto"/>
              <w:jc w:val="both"/>
            </w:pPr>
            <w:r>
              <w:t>Year</w:t>
            </w:r>
          </w:p>
        </w:tc>
        <w:tc>
          <w:tcPr>
            <w:tcW w:w="3445" w:type="dxa"/>
          </w:tcPr>
          <w:p>
            <w:pPr>
              <w:spacing w:after="0" w:line="360" w:lineRule="auto"/>
              <w:jc w:val="both"/>
            </w:pPr>
            <w:r>
              <w:t>Female Faculty  %</w:t>
            </w:r>
          </w:p>
        </w:tc>
        <w:tc>
          <w:tcPr>
            <w:tcW w:w="3082" w:type="dxa"/>
          </w:tcPr>
          <w:p>
            <w:pPr>
              <w:spacing w:after="0" w:line="360" w:lineRule="auto"/>
              <w:jc w:val="both"/>
            </w:pPr>
            <w:r>
              <w:t>Male Faculty%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1170" w:type="dxa"/>
            <w:tcBorders>
              <w:top w:val="single" w:color="auto" w:sz="4" w:space="0"/>
              <w:right w:val="single" w:color="auto" w:sz="4" w:space="0"/>
            </w:tcBorders>
          </w:tcPr>
          <w:p>
            <w:pPr>
              <w:spacing w:after="0" w:line="360" w:lineRule="auto"/>
              <w:jc w:val="both"/>
            </w:pPr>
            <w:r>
              <w:t>1.</w:t>
            </w:r>
          </w:p>
        </w:tc>
        <w:tc>
          <w:tcPr>
            <w:tcW w:w="1170" w:type="dxa"/>
            <w:tcBorders>
              <w:left w:val="single" w:color="auto" w:sz="4" w:space="0"/>
            </w:tcBorders>
          </w:tcPr>
          <w:p>
            <w:pPr>
              <w:spacing w:after="0" w:line="360" w:lineRule="auto"/>
              <w:jc w:val="both"/>
            </w:pPr>
            <w:r>
              <w:t>20-21</w:t>
            </w:r>
          </w:p>
        </w:tc>
        <w:tc>
          <w:tcPr>
            <w:tcW w:w="3445" w:type="dxa"/>
          </w:tcPr>
          <w:p>
            <w:pPr>
              <w:spacing w:after="0" w:line="360" w:lineRule="auto"/>
              <w:jc w:val="both"/>
            </w:pPr>
            <w:r>
              <w:t>50</w:t>
            </w:r>
          </w:p>
        </w:tc>
        <w:tc>
          <w:tcPr>
            <w:tcW w:w="3082" w:type="dxa"/>
          </w:tcPr>
          <w:p>
            <w:pPr>
              <w:spacing w:after="0" w:line="360" w:lineRule="auto"/>
              <w:jc w:val="both"/>
            </w:pPr>
            <w: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tcBorders>
              <w:right w:val="single" w:color="auto" w:sz="4" w:space="0"/>
            </w:tcBorders>
          </w:tcPr>
          <w:p>
            <w:pPr>
              <w:spacing w:after="0" w:line="360" w:lineRule="auto"/>
              <w:jc w:val="both"/>
            </w:pPr>
            <w:r>
              <w:t xml:space="preserve"> Sr. No.</w:t>
            </w:r>
          </w:p>
        </w:tc>
        <w:tc>
          <w:tcPr>
            <w:tcW w:w="1170" w:type="dxa"/>
            <w:tcBorders>
              <w:left w:val="single" w:color="auto" w:sz="4" w:space="0"/>
            </w:tcBorders>
          </w:tcPr>
          <w:p>
            <w:pPr>
              <w:spacing w:after="0" w:line="360" w:lineRule="auto"/>
              <w:jc w:val="both"/>
            </w:pPr>
            <w:r>
              <w:t>Year</w:t>
            </w:r>
          </w:p>
        </w:tc>
        <w:tc>
          <w:tcPr>
            <w:tcW w:w="3445" w:type="dxa"/>
          </w:tcPr>
          <w:p>
            <w:pPr>
              <w:spacing w:after="0" w:line="360" w:lineRule="auto"/>
              <w:jc w:val="both"/>
            </w:pPr>
            <w:r>
              <w:t>Female students  %</w:t>
            </w:r>
          </w:p>
        </w:tc>
        <w:tc>
          <w:tcPr>
            <w:tcW w:w="3082" w:type="dxa"/>
          </w:tcPr>
          <w:p>
            <w:pPr>
              <w:spacing w:after="0" w:line="360" w:lineRule="auto"/>
              <w:jc w:val="both"/>
            </w:pPr>
            <w:r>
              <w:t>Male students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70" w:type="dxa"/>
            <w:tcBorders>
              <w:right w:val="single" w:color="auto" w:sz="4" w:space="0"/>
            </w:tcBorders>
          </w:tcPr>
          <w:p>
            <w:pPr>
              <w:spacing w:after="0" w:line="360" w:lineRule="auto"/>
              <w:jc w:val="both"/>
            </w:pPr>
            <w:r>
              <w:t>2</w:t>
            </w:r>
          </w:p>
        </w:tc>
        <w:tc>
          <w:tcPr>
            <w:tcW w:w="1170" w:type="dxa"/>
            <w:tcBorders>
              <w:left w:val="single" w:color="auto" w:sz="4" w:space="0"/>
            </w:tcBorders>
          </w:tcPr>
          <w:p>
            <w:pPr>
              <w:spacing w:after="0" w:line="360" w:lineRule="auto"/>
              <w:jc w:val="both"/>
            </w:pPr>
            <w:r>
              <w:t>20-21</w:t>
            </w:r>
          </w:p>
        </w:tc>
        <w:tc>
          <w:tcPr>
            <w:tcW w:w="3445" w:type="dxa"/>
          </w:tcPr>
          <w:p>
            <w:pPr>
              <w:spacing w:after="0" w:line="360" w:lineRule="auto"/>
              <w:jc w:val="both"/>
            </w:pPr>
            <w:r>
              <w:t>53</w:t>
            </w:r>
          </w:p>
        </w:tc>
        <w:tc>
          <w:tcPr>
            <w:tcW w:w="3082" w:type="dxa"/>
          </w:tcPr>
          <w:p>
            <w:pPr>
              <w:spacing w:after="0" w:line="360" w:lineRule="auto"/>
              <w:jc w:val="both"/>
            </w:pPr>
            <w:r>
              <w:t>47</w:t>
            </w:r>
          </w:p>
        </w:tc>
      </w:tr>
    </w:tbl>
    <w:p>
      <w:pPr>
        <w:spacing w:after="0" w:line="360" w:lineRule="auto"/>
        <w:jc w:val="both"/>
      </w:pPr>
    </w:p>
    <w:p>
      <w:pPr>
        <w:spacing w:after="0" w:line="360" w:lineRule="auto"/>
        <w:jc w:val="both"/>
        <w:rPr>
          <w:b/>
          <w:bCs/>
        </w:rPr>
      </w:pPr>
      <w:r>
        <w:rPr>
          <w:b/>
          <w:bCs/>
        </w:rPr>
        <w:t>* Some possible challenges:</w:t>
      </w:r>
    </w:p>
    <w:p>
      <w:pPr>
        <w:spacing w:after="0" w:line="360" w:lineRule="auto"/>
        <w:jc w:val="both"/>
      </w:pPr>
      <w:r>
        <w:tab/>
      </w:r>
      <w:r>
        <w:t>The institute is located in rural area of Maharashtra, with villages nearly, having a majority of admissions from these areas. The mindset and some limitations as bus, train timings of the residents of these villages also affect the enrollment percentage of female students.</w:t>
      </w:r>
    </w:p>
    <w:p>
      <w:pPr>
        <w:spacing w:after="0" w:line="360" w:lineRule="auto"/>
        <w:jc w:val="both"/>
        <w:rPr>
          <w:b/>
          <w:bCs/>
        </w:rPr>
      </w:pPr>
      <w:r>
        <w:rPr>
          <w:b/>
          <w:bCs/>
        </w:rPr>
        <w:t>7.1.1.4 A new Plan:</w:t>
      </w:r>
    </w:p>
    <w:p>
      <w:pPr>
        <w:spacing w:after="0" w:line="360" w:lineRule="auto"/>
        <w:jc w:val="both"/>
      </w:pPr>
      <w:r>
        <w:tab/>
      </w:r>
      <w:r>
        <w:t>The Action plan identifies and focuses attention that will enable strategic sustainable &amp; meaningful change at Yeshwant. The Action plan will help us,over the next year, to navigate &amp; accelerate the gender equity journey. We in Yeshwant try to inculcate and pinpoint the leadership skill in their staff, their devotion and their various skills they have, identifying these qualities and by adapting gender sensitization Action plan, Yeshwant demonstrate how it value the richness of diversity among staff.</w:t>
      </w:r>
    </w:p>
    <w:p>
      <w:pPr>
        <w:spacing w:after="0" w:line="360" w:lineRule="auto"/>
        <w:jc w:val="both"/>
      </w:pPr>
      <w:r>
        <w:t xml:space="preserve">7.1.1.4.1 Working in partnership to </w:t>
      </w:r>
      <w:r>
        <w:rPr>
          <w:lang w:val="en-US"/>
        </w:rPr>
        <w:t>address</w:t>
      </w:r>
      <w:r>
        <w:t xml:space="preserve"> gender imbalance publicity and awareness program for students, we also conducts bridge courses so as to upgrade and make students  understand about the art of different subjects and importance of every faculty in their life. In law faculty. We also go to nearby   Juniour and senior colleges to educate them regarding the importance of Law subject as their carrier. </w:t>
      </w: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spacing w:after="0" w:line="360" w:lineRule="auto"/>
        <w:jc w:val="both"/>
      </w:pPr>
      <w:r>
        <w:t>Table :</w:t>
      </w:r>
    </w:p>
    <w:p>
      <w:pPr>
        <w:spacing w:after="0" w:line="360" w:lineRule="auto"/>
        <w:jc w:val="both"/>
        <w:rPr>
          <w:b/>
          <w:bCs/>
        </w:rPr>
      </w:pPr>
      <w:r>
        <w:rPr>
          <w:b/>
          <w:bCs/>
        </w:rPr>
        <w:t xml:space="preserve">No of gender equity promotion program </w:t>
      </w:r>
      <w:r>
        <w:rPr>
          <w:b/>
          <w:bCs/>
          <w:lang w:val="en-US"/>
        </w:rPr>
        <w:t>organized</w:t>
      </w:r>
      <w:r>
        <w:rPr>
          <w:b/>
          <w:bCs/>
        </w:rPr>
        <w:t xml:space="preserve"> by the institution 20-21</w:t>
      </w:r>
    </w:p>
    <w:p>
      <w:pPr>
        <w:spacing w:after="0" w:line="360" w:lineRule="auto"/>
        <w:jc w:val="both"/>
      </w:pPr>
      <w:r>
        <w:tab/>
      </w:r>
    </w:p>
    <w:tbl>
      <w:tblPr>
        <w:tblStyle w:val="4"/>
        <w:tblW w:w="0" w:type="auto"/>
        <w:tblInd w:w="154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24"/>
        <w:gridCol w:w="295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4" w:type="dxa"/>
          </w:tcPr>
          <w:p>
            <w:pPr>
              <w:spacing w:after="0" w:line="360" w:lineRule="auto"/>
              <w:jc w:val="both"/>
            </w:pPr>
            <w:r>
              <w:t>Year</w:t>
            </w:r>
          </w:p>
        </w:tc>
        <w:tc>
          <w:tcPr>
            <w:tcW w:w="2959" w:type="dxa"/>
          </w:tcPr>
          <w:p>
            <w:pPr>
              <w:spacing w:after="0" w:line="360" w:lineRule="auto"/>
              <w:jc w:val="both"/>
            </w:pPr>
            <w:r>
              <w:t>Title of Program</w:t>
            </w:r>
          </w:p>
        </w:tc>
        <w:tc>
          <w:tcPr>
            <w:tcW w:w="2914" w:type="dxa"/>
          </w:tcPr>
          <w:p>
            <w:pPr>
              <w:spacing w:after="0" w:line="360" w:lineRule="auto"/>
              <w:jc w:val="both"/>
            </w:pPr>
            <w:r>
              <w:t>Date &amp; Duration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4" w:type="dxa"/>
          </w:tcPr>
          <w:p>
            <w:pPr>
              <w:spacing w:after="0" w:line="360" w:lineRule="auto"/>
              <w:jc w:val="both"/>
            </w:pPr>
            <w:r>
              <w:t>20-21</w:t>
            </w:r>
          </w:p>
        </w:tc>
        <w:tc>
          <w:tcPr>
            <w:tcW w:w="2959" w:type="dxa"/>
          </w:tcPr>
          <w:p>
            <w:pPr>
              <w:spacing w:after="0" w:line="360" w:lineRule="auto"/>
              <w:jc w:val="both"/>
            </w:pPr>
            <w:r>
              <w:t>Virginity</w:t>
            </w:r>
          </w:p>
        </w:tc>
        <w:tc>
          <w:tcPr>
            <w:tcW w:w="2914" w:type="dxa"/>
          </w:tcPr>
          <w:p>
            <w:pPr>
              <w:spacing w:after="0" w:line="360" w:lineRule="auto"/>
              <w:jc w:val="both"/>
            </w:pPr>
            <w:r>
              <w:t>8 Sept. 2021 – 2hrs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4" w:type="dxa"/>
          </w:tcPr>
          <w:p>
            <w:pPr>
              <w:spacing w:after="0" w:line="360" w:lineRule="auto"/>
              <w:jc w:val="both"/>
            </w:pPr>
            <w:r>
              <w:t>20-21</w:t>
            </w:r>
          </w:p>
        </w:tc>
        <w:tc>
          <w:tcPr>
            <w:tcW w:w="2959" w:type="dxa"/>
          </w:tcPr>
          <w:p>
            <w:pPr>
              <w:spacing w:after="0" w:line="360" w:lineRule="auto"/>
              <w:jc w:val="both"/>
            </w:pPr>
            <w:r>
              <w:t>Every year celebration of international women’s day on 8</w:t>
            </w:r>
            <w:r>
              <w:rPr>
                <w:vertAlign w:val="superscript"/>
              </w:rPr>
              <w:t>th</w:t>
            </w:r>
            <w:r>
              <w:t xml:space="preserve"> March 21</w:t>
            </w:r>
          </w:p>
        </w:tc>
        <w:tc>
          <w:tcPr>
            <w:tcW w:w="2914" w:type="dxa"/>
          </w:tcPr>
          <w:p>
            <w:pPr>
              <w:spacing w:after="0" w:line="360" w:lineRule="auto"/>
              <w:jc w:val="both"/>
            </w:pPr>
            <w:r>
              <w:t>8</w:t>
            </w:r>
            <w:r>
              <w:rPr>
                <w:vertAlign w:val="superscript"/>
              </w:rPr>
              <w:t>th</w:t>
            </w:r>
            <w:r>
              <w:t xml:space="preserve"> March 2021- 1hr.</w:t>
            </w:r>
          </w:p>
        </w:tc>
      </w:tr>
    </w:tbl>
    <w:p>
      <w:pPr>
        <w:spacing w:after="0" w:line="360" w:lineRule="auto"/>
        <w:jc w:val="both"/>
      </w:pPr>
    </w:p>
    <w:p>
      <w:pPr>
        <w:spacing w:after="0" w:line="360" w:lineRule="auto"/>
        <w:jc w:val="both"/>
      </w:pPr>
      <w:r>
        <w:t xml:space="preserve">   </w:t>
      </w:r>
    </w:p>
    <w:p>
      <w:pPr>
        <w:spacing w:after="0" w:line="360" w:lineRule="auto"/>
        <w:jc w:val="both"/>
        <w:rPr>
          <w:b/>
          <w:bCs/>
        </w:rPr>
      </w:pPr>
      <w:r>
        <w:rPr>
          <w:b/>
          <w:bCs/>
        </w:rPr>
        <w:t xml:space="preserve">   7.1.1.5 Yeshwant gender equity Action Plan:</w:t>
      </w:r>
    </w:p>
    <w:p>
      <w:pPr>
        <w:spacing w:after="0" w:line="360" w:lineRule="auto"/>
        <w:jc w:val="both"/>
      </w:pPr>
      <w:r>
        <w:tab/>
      </w:r>
    </w:p>
    <w:tbl>
      <w:tblPr>
        <w:tblStyle w:val="4"/>
        <w:tblW w:w="0" w:type="auto"/>
        <w:tblInd w:w="55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3895"/>
        <w:gridCol w:w="3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Sr. No.</w:t>
            </w:r>
          </w:p>
        </w:tc>
        <w:tc>
          <w:tcPr>
            <w:tcW w:w="3895" w:type="dxa"/>
          </w:tcPr>
          <w:p>
            <w:pPr>
              <w:spacing w:after="0" w:line="360" w:lineRule="auto"/>
              <w:jc w:val="both"/>
            </w:pPr>
            <w:r>
              <w:t>Key areas</w:t>
            </w:r>
          </w:p>
        </w:tc>
        <w:tc>
          <w:tcPr>
            <w:tcW w:w="3082" w:type="dxa"/>
          </w:tcPr>
          <w:p>
            <w:pPr>
              <w:spacing w:after="0" w:line="360" w:lineRule="auto"/>
              <w:jc w:val="both"/>
            </w:pPr>
            <w:r>
              <w:t>Proposed Action Plan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1</w:t>
            </w:r>
          </w:p>
        </w:tc>
        <w:tc>
          <w:tcPr>
            <w:tcW w:w="3895" w:type="dxa"/>
          </w:tcPr>
          <w:p>
            <w:pPr>
              <w:spacing w:after="0" w:line="360" w:lineRule="auto"/>
              <w:jc w:val="both"/>
            </w:pPr>
            <w:r>
              <w:t>Leadership commitment for gender equity</w:t>
            </w:r>
            <w:bookmarkStart w:id="0" w:name="_GoBack"/>
            <w:bookmarkEnd w:id="0"/>
          </w:p>
        </w:tc>
        <w:tc>
          <w:tcPr>
            <w:tcW w:w="3082" w:type="dxa"/>
          </w:tcPr>
          <w:p>
            <w:pPr>
              <w:spacing w:after="0" w:line="360" w:lineRule="auto"/>
              <w:jc w:val="both"/>
            </w:pPr>
            <w:r>
              <w:t xml:space="preserve"> Formation &amp; gender sensitization working committee and implementation of action to increase gender intersectionality </w:t>
            </w:r>
            <w:r>
              <w:rPr>
                <w:lang w:val="en-US"/>
              </w:rPr>
              <w:t>awareness</w:t>
            </w:r>
            <w: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2</w:t>
            </w:r>
          </w:p>
        </w:tc>
        <w:tc>
          <w:tcPr>
            <w:tcW w:w="3895" w:type="dxa"/>
          </w:tcPr>
          <w:p>
            <w:pPr>
              <w:spacing w:after="0" w:line="360" w:lineRule="auto"/>
              <w:jc w:val="both"/>
            </w:pPr>
            <w:r>
              <w:t>Influencing the influencers</w:t>
            </w:r>
          </w:p>
        </w:tc>
        <w:tc>
          <w:tcPr>
            <w:tcW w:w="3082" w:type="dxa"/>
          </w:tcPr>
          <w:p>
            <w:pPr>
              <w:spacing w:after="0" w:line="360" w:lineRule="auto"/>
              <w:jc w:val="both"/>
            </w:pPr>
            <w:r>
              <w:t xml:space="preserve">Exploration of gender within the curriculum and use of extracurriculam  activities to address gender stereotype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3</w:t>
            </w:r>
          </w:p>
        </w:tc>
        <w:tc>
          <w:tcPr>
            <w:tcW w:w="3895" w:type="dxa"/>
          </w:tcPr>
          <w:p>
            <w:pPr>
              <w:spacing w:after="0" w:line="360" w:lineRule="auto"/>
              <w:jc w:val="both"/>
            </w:pPr>
            <w:r>
              <w:t>Awareness program</w:t>
            </w:r>
          </w:p>
        </w:tc>
        <w:tc>
          <w:tcPr>
            <w:tcW w:w="3082" w:type="dxa"/>
          </w:tcPr>
          <w:p>
            <w:pPr>
              <w:spacing w:after="0" w:line="360" w:lineRule="auto"/>
              <w:jc w:val="both"/>
            </w:pPr>
            <w:r>
              <w:t xml:space="preserve"> to raise awareness among females regarding various societal issues concerning women and career choices.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4</w:t>
            </w:r>
          </w:p>
        </w:tc>
        <w:tc>
          <w:tcPr>
            <w:tcW w:w="3895" w:type="dxa"/>
          </w:tcPr>
          <w:p>
            <w:pPr>
              <w:spacing w:after="0" w:line="360" w:lineRule="auto"/>
              <w:jc w:val="both"/>
            </w:pPr>
            <w:r>
              <w:t xml:space="preserve">Encouraging Application  </w:t>
            </w:r>
          </w:p>
        </w:tc>
        <w:tc>
          <w:tcPr>
            <w:tcW w:w="3082" w:type="dxa"/>
          </w:tcPr>
          <w:p>
            <w:pPr>
              <w:spacing w:after="0" w:line="360" w:lineRule="auto"/>
              <w:jc w:val="both"/>
            </w:pPr>
            <w:r>
              <w:rPr>
                <w:rFonts w:hint="default"/>
                <w:lang w:val="en-US"/>
              </w:rPr>
              <w:t>a)</w:t>
            </w:r>
            <w:r>
              <w:t xml:space="preserve"> to ensure our admission process address the gender </w:t>
            </w:r>
            <w:r>
              <w:rPr>
                <w:lang w:val="en-US"/>
              </w:rPr>
              <w:t>imbalance</w:t>
            </w:r>
            <w:r>
              <w:t>.</w:t>
            </w:r>
          </w:p>
          <w:p>
            <w:pPr>
              <w:spacing w:after="0" w:line="360" w:lineRule="auto"/>
              <w:jc w:val="both"/>
            </w:pPr>
            <w:r>
              <w:t xml:space="preserve">b) To encourage more number of female students and staff in the college.   </w:t>
            </w:r>
          </w:p>
          <w:p>
            <w:pPr>
              <w:spacing w:after="0" w:line="360" w:lineRule="auto"/>
              <w:jc w:val="both"/>
            </w:pPr>
          </w:p>
          <w:p>
            <w:pPr>
              <w:spacing w:after="0"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10" w:type="dxa"/>
          </w:tcPr>
          <w:p>
            <w:pPr>
              <w:spacing w:after="0" w:line="360" w:lineRule="auto"/>
              <w:jc w:val="both"/>
            </w:pPr>
            <w:r>
              <w:t>5</w:t>
            </w:r>
          </w:p>
        </w:tc>
        <w:tc>
          <w:tcPr>
            <w:tcW w:w="3895" w:type="dxa"/>
          </w:tcPr>
          <w:p>
            <w:pPr>
              <w:spacing w:after="0" w:line="360" w:lineRule="auto"/>
              <w:jc w:val="both"/>
            </w:pPr>
            <w:r>
              <w:t xml:space="preserve">Addressing female safety program </w:t>
            </w:r>
          </w:p>
        </w:tc>
        <w:tc>
          <w:tcPr>
            <w:tcW w:w="3082" w:type="dxa"/>
          </w:tcPr>
          <w:p>
            <w:pPr>
              <w:spacing w:after="0" w:line="360" w:lineRule="auto"/>
              <w:jc w:val="both"/>
            </w:pPr>
            <w:r>
              <w:t xml:space="preserve">a) to take more &amp; more program on women  safety and  judo workshop to be </w:t>
            </w:r>
            <w:r>
              <w:rPr>
                <w:lang w:val="en-US"/>
              </w:rPr>
              <w:t>organized</w:t>
            </w:r>
            <w:r>
              <w:t xml:space="preserve"> to </w:t>
            </w:r>
            <w:r>
              <w:rPr>
                <w:lang w:val="en-US"/>
              </w:rPr>
              <w:t>address</w:t>
            </w:r>
            <w:r>
              <w:t xml:space="preserve"> the strength and support female students by Proving counseling sessions. </w:t>
            </w:r>
          </w:p>
        </w:tc>
      </w:tr>
    </w:tbl>
    <w:p>
      <w:pPr>
        <w:spacing w:after="0" w:line="360" w:lineRule="auto"/>
        <w:jc w:val="both"/>
      </w:pPr>
      <w:r>
        <w:t xml:space="preserve"> </w:t>
      </w: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73B77"/>
    <w:rsid w:val="000D66FE"/>
    <w:rsid w:val="00273B77"/>
    <w:rsid w:val="00277DC5"/>
    <w:rsid w:val="002A708A"/>
    <w:rsid w:val="003754BA"/>
    <w:rsid w:val="003C0252"/>
    <w:rsid w:val="004A0833"/>
    <w:rsid w:val="004B2B93"/>
    <w:rsid w:val="00552D24"/>
    <w:rsid w:val="0055530A"/>
    <w:rsid w:val="00655475"/>
    <w:rsid w:val="0071115D"/>
    <w:rsid w:val="00731A96"/>
    <w:rsid w:val="007F7841"/>
    <w:rsid w:val="008D0B57"/>
    <w:rsid w:val="009B4D26"/>
    <w:rsid w:val="00A1759B"/>
    <w:rsid w:val="00A97743"/>
    <w:rsid w:val="00AC1F37"/>
    <w:rsid w:val="00AC4DEB"/>
    <w:rsid w:val="00B65B41"/>
    <w:rsid w:val="00DA1E34"/>
    <w:rsid w:val="00E80309"/>
    <w:rsid w:val="00EC01C3"/>
    <w:rsid w:val="00F50440"/>
    <w:rsid w:val="1ED6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474</Words>
  <Characters>2706</Characters>
  <Lines>22</Lines>
  <Paragraphs>6</Paragraphs>
  <TotalTime>53</TotalTime>
  <ScaleCrop>false</ScaleCrop>
  <LinksUpToDate>false</LinksUpToDate>
  <CharactersWithSpaces>3174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2022-03-09T06:34:00Z</dcterms:created>
  <dc:creator>admin</dc:creator>
  <cp:lastModifiedBy>kalpana kulkarni</cp:lastModifiedBy>
  <dcterms:modified xsi:type="dcterms:W3CDTF">2022-03-11T08:39:45Z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B86EBCC7FB1D4A8496BF39B331DFB868</vt:lpwstr>
  </property>
</Properties>
</file>